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EXECUTIVE DIRECTOR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Executive Director monitors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strategic vision, driving growth through informed business decisions.  They oversee the effectiveness of programs and employees and engage with the executive team, implementing developmental plans.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Executive Director is a visionary who leverages strategic thinking, creativity, and communication to ensure everyone and everything is leaning toward a common goal.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closely with the board of directors to define, create, and implement corporate objectives and KPIs and track their success.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Supervising corporate activities and ensuring workers and business procedures comply with regulatory and legal requirements.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Budgeting operational expenses to maximize profit.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Identifying, recruiting, training, and creating a strong team of employees capable of managing critical business activities and leading essential departments.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Supervising, instructing, and managing personnel from various departments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Developing relationships with the firm's stakeholders, stockholders, and other relevant parties.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Organizing support for customers to improve customer satisfaction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Managing external partner and vendor relationships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Identifying potential hazards and opportunities within the organization and its environment to protect corporate interests.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Representing the company at social and corporate events to strengthen the brand and communicate the organization's message.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related duties.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as Executive Director or similar position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bachelor’s degree in business administration or relevant field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master’s degree in business administration or relevant field is a big plus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industry’s legal rules and guidelines as well as the latest trends and best practices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In-depth knowledge of diverse business functions and principles, including but not limited to supply chain, finance, customer service, and human resources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knowledge of data analysis and performance or operation metrics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Visionary leadership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rise to challenges, dare to take risks, and accept responsibility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skills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Exude confidence and a positive attitude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excellently with a team and understands group dynamics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Strategic planning and actualization of plans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Hours outside of typical working schedule may be required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 or using computer screens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2+4JeXHAXzbC9k1vJQdKom1tQ==">AMUW2mWj0StTZ4oGGJqzmVWHuRTR2Z9BdinbJTsfcj1Nk2azJUc/eqN4rR0kya2nvmNTDNlrVvSwb0lsxNiGZq+RX4pJl7m0zKowEcKZdc0YdGMCGbBCPXsMzmPl5TzvtbkGVJNjykUK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